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547A" w14:textId="52A1392F" w:rsidR="00946A63" w:rsidRDefault="00837988" w:rsidP="00946A63">
      <w:r w:rsidRPr="00837988">
        <w:t>DATE:</w:t>
      </w:r>
      <w:r w:rsidRPr="00837988">
        <w:tab/>
      </w:r>
      <w:r>
        <w:tab/>
      </w:r>
      <w:r w:rsidR="00256852">
        <w:t>April 14, 2022</w:t>
      </w:r>
    </w:p>
    <w:p w14:paraId="56446E30" w14:textId="77777777" w:rsidR="00710EE9" w:rsidRPr="00837988" w:rsidRDefault="00710EE9" w:rsidP="00946A63">
      <w:pPr>
        <w:rPr>
          <w:szCs w:val="24"/>
        </w:rPr>
      </w:pPr>
    </w:p>
    <w:p w14:paraId="1A44052E" w14:textId="77777777" w:rsidR="00837988" w:rsidRPr="00837988" w:rsidRDefault="00837988" w:rsidP="00837988">
      <w:pPr>
        <w:tabs>
          <w:tab w:val="left" w:pos="900"/>
        </w:tabs>
        <w:rPr>
          <w:szCs w:val="24"/>
        </w:rPr>
      </w:pPr>
      <w:r w:rsidRPr="00837988">
        <w:rPr>
          <w:szCs w:val="24"/>
        </w:rPr>
        <w:t>TO:</w:t>
      </w:r>
      <w:r w:rsidRPr="00837988">
        <w:rPr>
          <w:szCs w:val="24"/>
        </w:rPr>
        <w:tab/>
      </w:r>
      <w:r>
        <w:rPr>
          <w:szCs w:val="24"/>
        </w:rPr>
        <w:tab/>
      </w:r>
      <w:r w:rsidRPr="00837988">
        <w:rPr>
          <w:szCs w:val="24"/>
        </w:rPr>
        <w:t>School of Medicine Department Chairs</w:t>
      </w:r>
    </w:p>
    <w:p w14:paraId="3E8762BE" w14:textId="47C167B5" w:rsidR="00837988" w:rsidRDefault="00837988" w:rsidP="00837988">
      <w:pPr>
        <w:pStyle w:val="Heading1"/>
        <w:tabs>
          <w:tab w:val="left" w:pos="1440"/>
          <w:tab w:val="left" w:pos="6720"/>
        </w:tabs>
        <w:spacing w:after="240"/>
        <w:rPr>
          <w:rFonts w:ascii="Times New Roman" w:hAnsi="Times New Roman" w:cs="Times New Roman"/>
          <w:color w:val="auto"/>
          <w:sz w:val="24"/>
          <w:szCs w:val="24"/>
        </w:rPr>
      </w:pPr>
      <w:r>
        <w:rPr>
          <w:rFonts w:ascii="Times New Roman" w:hAnsi="Times New Roman" w:cs="Times New Roman"/>
          <w:color w:val="auto"/>
          <w:sz w:val="24"/>
          <w:szCs w:val="24"/>
        </w:rPr>
        <w:t>FROM:</w:t>
      </w:r>
      <w:r>
        <w:rPr>
          <w:rFonts w:ascii="Times New Roman" w:hAnsi="Times New Roman" w:cs="Times New Roman"/>
          <w:color w:val="auto"/>
          <w:sz w:val="24"/>
          <w:szCs w:val="24"/>
        </w:rPr>
        <w:tab/>
      </w:r>
      <w:r w:rsidR="00415797">
        <w:rPr>
          <w:rFonts w:ascii="Times New Roman" w:hAnsi="Times New Roman" w:cs="Times New Roman"/>
          <w:color w:val="auto"/>
          <w:sz w:val="24"/>
          <w:szCs w:val="24"/>
        </w:rPr>
        <w:t>Susan Hingle, MD Associate Dean for Human and Organizational Potential</w:t>
      </w:r>
    </w:p>
    <w:p w14:paraId="61B45F0C" w14:textId="7E4E45FA" w:rsidR="00086262" w:rsidRDefault="00086262" w:rsidP="00086262">
      <w:pPr>
        <w:ind w:left="1440"/>
      </w:pPr>
      <w:r>
        <w:t>Lisabeth DiLalla, PhD, Chair, SIU School of Medicine Promotion and Tenure Committee</w:t>
      </w:r>
    </w:p>
    <w:p w14:paraId="44F65AF0" w14:textId="77777777" w:rsidR="00086262" w:rsidRPr="00086262" w:rsidRDefault="00086262" w:rsidP="00086262">
      <w:pPr>
        <w:ind w:left="1440"/>
      </w:pPr>
    </w:p>
    <w:p w14:paraId="6AE3F33B" w14:textId="77777777" w:rsidR="00837988" w:rsidRPr="00837988" w:rsidRDefault="00837988" w:rsidP="00837988">
      <w:pPr>
        <w:pBdr>
          <w:bottom w:val="single" w:sz="24" w:space="1" w:color="auto"/>
        </w:pBdr>
        <w:tabs>
          <w:tab w:val="left" w:pos="1440"/>
        </w:tabs>
        <w:spacing w:after="240"/>
        <w:rPr>
          <w:b/>
          <w:i/>
          <w:szCs w:val="24"/>
          <w:u w:val="single"/>
        </w:rPr>
      </w:pPr>
      <w:r w:rsidRPr="00837988">
        <w:rPr>
          <w:szCs w:val="24"/>
        </w:rPr>
        <w:t>RE:</w:t>
      </w:r>
      <w:r w:rsidRPr="00837988">
        <w:rPr>
          <w:szCs w:val="24"/>
        </w:rPr>
        <w:tab/>
        <w:t xml:space="preserve">Preparation of </w:t>
      </w:r>
      <w:r w:rsidR="00C83880">
        <w:rPr>
          <w:szCs w:val="24"/>
        </w:rPr>
        <w:t>Promotion and Tenure</w:t>
      </w:r>
      <w:r w:rsidRPr="00837988">
        <w:rPr>
          <w:szCs w:val="24"/>
        </w:rPr>
        <w:t xml:space="preserve"> Dossiers</w:t>
      </w:r>
    </w:p>
    <w:p w14:paraId="3379AD98" w14:textId="21095778" w:rsidR="00086262" w:rsidRDefault="00A22336" w:rsidP="00966107">
      <w:pPr>
        <w:rPr>
          <w:rStyle w:val="Hyperlink"/>
        </w:rPr>
      </w:pPr>
      <w:r>
        <w:rPr>
          <w:szCs w:val="24"/>
        </w:rPr>
        <w:t>D</w:t>
      </w:r>
      <w:r w:rsidR="00837988" w:rsidRPr="00837988">
        <w:rPr>
          <w:szCs w:val="24"/>
        </w:rPr>
        <w:t>ossiers supporting the promotion</w:t>
      </w:r>
      <w:r w:rsidR="00837988">
        <w:rPr>
          <w:szCs w:val="24"/>
        </w:rPr>
        <w:t xml:space="preserve"> and/or tenure</w:t>
      </w:r>
      <w:r w:rsidR="00837988" w:rsidRPr="00837988">
        <w:rPr>
          <w:szCs w:val="24"/>
        </w:rPr>
        <w:t xml:space="preserve"> of faculty in your department are due in the Office of the Dean and Provost by </w:t>
      </w:r>
      <w:r w:rsidR="00717598">
        <w:rPr>
          <w:szCs w:val="24"/>
        </w:rPr>
        <w:t xml:space="preserve">the close of business on </w:t>
      </w:r>
      <w:r w:rsidR="00717598">
        <w:rPr>
          <w:b/>
          <w:szCs w:val="24"/>
        </w:rPr>
        <w:t>Friday, October 2</w:t>
      </w:r>
      <w:r w:rsidR="00086262">
        <w:rPr>
          <w:b/>
          <w:szCs w:val="24"/>
        </w:rPr>
        <w:t>8</w:t>
      </w:r>
      <w:r w:rsidR="00717598">
        <w:rPr>
          <w:b/>
          <w:szCs w:val="24"/>
        </w:rPr>
        <w:t>, 202</w:t>
      </w:r>
      <w:r w:rsidR="00086262">
        <w:rPr>
          <w:b/>
          <w:szCs w:val="24"/>
        </w:rPr>
        <w:t>2</w:t>
      </w:r>
      <w:r w:rsidR="00717598">
        <w:rPr>
          <w:b/>
          <w:szCs w:val="24"/>
        </w:rPr>
        <w:t xml:space="preserve">. </w:t>
      </w:r>
      <w:r w:rsidR="00837988" w:rsidRPr="00837988">
        <w:rPr>
          <w:szCs w:val="24"/>
        </w:rPr>
        <w:t xml:space="preserve"> Please submit three (3) paper copies of the dossiers (one original and two copies).  The dossier should also include a copy of your departmental </w:t>
      </w:r>
      <w:r w:rsidR="004806C5">
        <w:rPr>
          <w:szCs w:val="24"/>
        </w:rPr>
        <w:t xml:space="preserve">Promotion and Tenure </w:t>
      </w:r>
      <w:r w:rsidR="00837988" w:rsidRPr="00837988">
        <w:rPr>
          <w:szCs w:val="24"/>
        </w:rPr>
        <w:t>operating paper and a copy of the letter of solicitation</w:t>
      </w:r>
      <w:r w:rsidR="00837988">
        <w:rPr>
          <w:szCs w:val="24"/>
        </w:rPr>
        <w:t xml:space="preserve"> for letters of support.</w:t>
      </w:r>
      <w:r w:rsidR="00837988" w:rsidRPr="00837988">
        <w:rPr>
          <w:szCs w:val="24"/>
        </w:rPr>
        <w:t xml:space="preserve">  Guidelines on faculty appointments, and promotion and tenure can be found at </w:t>
      </w:r>
      <w:hyperlink r:id="rId8" w:history="1">
        <w:r w:rsidR="004806C5" w:rsidRPr="00686C4E">
          <w:rPr>
            <w:rStyle w:val="Hyperlink"/>
          </w:rPr>
          <w:t>https://www.siumed.edu/hop/policies/promotion-tenure-guidelines-2018.html</w:t>
        </w:r>
      </w:hyperlink>
    </w:p>
    <w:p w14:paraId="2FECD82D" w14:textId="77777777" w:rsidR="004806C5" w:rsidRDefault="004806C5" w:rsidP="00966107">
      <w:pPr>
        <w:rPr>
          <w:color w:val="993366"/>
        </w:rPr>
      </w:pPr>
    </w:p>
    <w:p w14:paraId="464B91D5" w14:textId="1D672F72" w:rsidR="00086262" w:rsidRDefault="00256852" w:rsidP="00837988">
      <w:pPr>
        <w:jc w:val="both"/>
        <w:rPr>
          <w:szCs w:val="24"/>
        </w:rPr>
      </w:pPr>
      <w:r>
        <w:rPr>
          <w:szCs w:val="24"/>
        </w:rPr>
        <w:t>The simplified pilot process will be piloted again this year. Faculty can complete the full dossier as outlined in the 2018 guidelines or the simplified dossier piloted last year which is included as an attachment</w:t>
      </w:r>
      <w:r w:rsidR="00EA6EF0">
        <w:rPr>
          <w:szCs w:val="24"/>
        </w:rPr>
        <w:t xml:space="preserve"> to this e-mail</w:t>
      </w:r>
      <w:r>
        <w:rPr>
          <w:szCs w:val="24"/>
        </w:rPr>
        <w:t xml:space="preserve">. </w:t>
      </w:r>
      <w:r w:rsidR="00086262">
        <w:rPr>
          <w:szCs w:val="24"/>
        </w:rPr>
        <w:t>The SIU School of Medicine Promotion and Tenure Committee has created a document that outlines and clarifies the types of letters and the number of letters of different types that should be included. It</w:t>
      </w:r>
      <w:r w:rsidR="00EA6EF0">
        <w:rPr>
          <w:szCs w:val="24"/>
        </w:rPr>
        <w:t xml:space="preserve"> is included in the attachment</w:t>
      </w:r>
      <w:r w:rsidR="00086262">
        <w:rPr>
          <w:szCs w:val="24"/>
        </w:rPr>
        <w:t xml:space="preserve"> and will be added to the Hive.</w:t>
      </w:r>
    </w:p>
    <w:p w14:paraId="29A7F693" w14:textId="77777777" w:rsidR="00086262" w:rsidRDefault="00086262" w:rsidP="00837988">
      <w:pPr>
        <w:jc w:val="both"/>
        <w:rPr>
          <w:szCs w:val="24"/>
        </w:rPr>
      </w:pPr>
    </w:p>
    <w:p w14:paraId="2C2E0506" w14:textId="7E6D6869" w:rsidR="004806C5" w:rsidRPr="00837988" w:rsidRDefault="00837988" w:rsidP="00837988">
      <w:pPr>
        <w:jc w:val="both"/>
        <w:rPr>
          <w:szCs w:val="24"/>
        </w:rPr>
      </w:pPr>
      <w:r w:rsidRPr="00837988">
        <w:rPr>
          <w:szCs w:val="24"/>
        </w:rPr>
        <w:t>Dossiers will be scanned to produce a complete file on</w:t>
      </w:r>
      <w:r w:rsidR="00A41449">
        <w:rPr>
          <w:szCs w:val="24"/>
        </w:rPr>
        <w:t xml:space="preserve"> flash drive </w:t>
      </w:r>
      <w:r w:rsidRPr="00837988">
        <w:rPr>
          <w:szCs w:val="24"/>
        </w:rPr>
        <w:t>for committee members to access.  As a result, we ask that you adhere to the following guidelines in preparing the dossiers:</w:t>
      </w:r>
    </w:p>
    <w:p w14:paraId="7C838660" w14:textId="77777777" w:rsidR="00837988" w:rsidRPr="00837988" w:rsidRDefault="00837988" w:rsidP="00837988">
      <w:pPr>
        <w:numPr>
          <w:ilvl w:val="0"/>
          <w:numId w:val="1"/>
        </w:numPr>
        <w:jc w:val="both"/>
        <w:rPr>
          <w:szCs w:val="24"/>
        </w:rPr>
      </w:pPr>
      <w:r w:rsidRPr="00837988">
        <w:rPr>
          <w:szCs w:val="24"/>
        </w:rPr>
        <w:t>There should be no extra (blank) pages in the dossier.  Please do not place tab pages in the document.</w:t>
      </w:r>
    </w:p>
    <w:p w14:paraId="5CC710DA" w14:textId="77777777" w:rsidR="00837988" w:rsidRPr="00837988" w:rsidRDefault="00837988" w:rsidP="00837988">
      <w:pPr>
        <w:numPr>
          <w:ilvl w:val="0"/>
          <w:numId w:val="1"/>
        </w:numPr>
        <w:jc w:val="both"/>
        <w:rPr>
          <w:szCs w:val="24"/>
        </w:rPr>
      </w:pPr>
      <w:r w:rsidRPr="00837988">
        <w:rPr>
          <w:szCs w:val="24"/>
        </w:rPr>
        <w:t>All material must be single sided.  If you wish to submit support documentation that is double-sided, it must be copied to conform to this rule.</w:t>
      </w:r>
    </w:p>
    <w:p w14:paraId="5BDE5E53" w14:textId="77777777" w:rsidR="00837988" w:rsidRPr="00837988" w:rsidRDefault="00837988" w:rsidP="00837988">
      <w:pPr>
        <w:numPr>
          <w:ilvl w:val="0"/>
          <w:numId w:val="1"/>
        </w:numPr>
        <w:jc w:val="both"/>
        <w:rPr>
          <w:szCs w:val="24"/>
        </w:rPr>
      </w:pPr>
      <w:r w:rsidRPr="00837988">
        <w:rPr>
          <w:szCs w:val="24"/>
        </w:rPr>
        <w:t>Cards and notes from patients must not be included.   Similarly, individual evaluations by students should not be included.  Summary data from student evaluations can be included.</w:t>
      </w:r>
    </w:p>
    <w:p w14:paraId="7CD57BE7" w14:textId="77777777" w:rsidR="00837988" w:rsidRPr="00837988" w:rsidRDefault="00837988" w:rsidP="00837988">
      <w:pPr>
        <w:numPr>
          <w:ilvl w:val="0"/>
          <w:numId w:val="1"/>
        </w:numPr>
        <w:jc w:val="both"/>
        <w:rPr>
          <w:szCs w:val="24"/>
        </w:rPr>
      </w:pPr>
      <w:r w:rsidRPr="00837988">
        <w:rPr>
          <w:szCs w:val="24"/>
        </w:rPr>
        <w:t>Each dossier must include a comprehensive index.  This will allow the reviewers to easily navigate the dossier online.</w:t>
      </w:r>
    </w:p>
    <w:p w14:paraId="24FF4062" w14:textId="77777777" w:rsidR="00837988" w:rsidRPr="00837988" w:rsidRDefault="00837988" w:rsidP="00837988">
      <w:pPr>
        <w:numPr>
          <w:ilvl w:val="0"/>
          <w:numId w:val="1"/>
        </w:numPr>
        <w:jc w:val="both"/>
        <w:rPr>
          <w:szCs w:val="24"/>
        </w:rPr>
      </w:pPr>
      <w:r w:rsidRPr="00837988">
        <w:rPr>
          <w:szCs w:val="24"/>
        </w:rPr>
        <w:t>Every page must be numbered sequentially and the index should refer to these page numbers.</w:t>
      </w:r>
    </w:p>
    <w:p w14:paraId="6F55C5FE" w14:textId="77777777" w:rsidR="00783638" w:rsidRDefault="00783638" w:rsidP="00837988">
      <w:pPr>
        <w:numPr>
          <w:ilvl w:val="0"/>
          <w:numId w:val="1"/>
        </w:numPr>
        <w:jc w:val="both"/>
        <w:rPr>
          <w:szCs w:val="24"/>
        </w:rPr>
      </w:pPr>
      <w:r>
        <w:rPr>
          <w:szCs w:val="24"/>
        </w:rPr>
        <w:t>No highlighting</w:t>
      </w:r>
    </w:p>
    <w:p w14:paraId="48998BAC" w14:textId="77777777" w:rsidR="00837988" w:rsidRDefault="00837988" w:rsidP="00837988">
      <w:pPr>
        <w:numPr>
          <w:ilvl w:val="0"/>
          <w:numId w:val="1"/>
        </w:numPr>
        <w:jc w:val="both"/>
        <w:rPr>
          <w:szCs w:val="24"/>
        </w:rPr>
      </w:pPr>
      <w:r w:rsidRPr="00837988">
        <w:rPr>
          <w:szCs w:val="24"/>
        </w:rPr>
        <w:t>No paper clips or staples should be used in assembling the dossier.</w:t>
      </w:r>
    </w:p>
    <w:p w14:paraId="45901CA0" w14:textId="77777777" w:rsidR="00A41449" w:rsidRPr="00837988" w:rsidRDefault="00A41449" w:rsidP="00837988">
      <w:pPr>
        <w:numPr>
          <w:ilvl w:val="0"/>
          <w:numId w:val="1"/>
        </w:numPr>
        <w:jc w:val="both"/>
        <w:rPr>
          <w:szCs w:val="24"/>
        </w:rPr>
      </w:pPr>
      <w:r>
        <w:rPr>
          <w:szCs w:val="24"/>
        </w:rPr>
        <w:t>Dossiers may be submitted using large binder clips, rubber banded or in expandable folders; three-ring binders are not acceptable.</w:t>
      </w:r>
    </w:p>
    <w:p w14:paraId="44A7097B" w14:textId="77777777" w:rsidR="00837988" w:rsidRDefault="00837988" w:rsidP="00837988">
      <w:pPr>
        <w:jc w:val="both"/>
        <w:rPr>
          <w:szCs w:val="24"/>
        </w:rPr>
      </w:pPr>
    </w:p>
    <w:p w14:paraId="572387FA" w14:textId="7D04E5AA" w:rsidR="00A41449" w:rsidRDefault="00415797" w:rsidP="00837988">
      <w:pPr>
        <w:jc w:val="both"/>
        <w:rPr>
          <w:szCs w:val="24"/>
        </w:rPr>
      </w:pPr>
      <w:r>
        <w:rPr>
          <w:szCs w:val="24"/>
        </w:rPr>
        <w:lastRenderedPageBreak/>
        <w:t>If you have questions, p</w:t>
      </w:r>
      <w:r w:rsidR="00A41449">
        <w:rPr>
          <w:szCs w:val="24"/>
        </w:rPr>
        <w:t>lease contact</w:t>
      </w:r>
      <w:r>
        <w:rPr>
          <w:szCs w:val="24"/>
        </w:rPr>
        <w:t xml:space="preserve"> Susan Hingle at 217-545-6915 or </w:t>
      </w:r>
      <w:hyperlink r:id="rId9" w:history="1">
        <w:r w:rsidRPr="00AC6F71">
          <w:rPr>
            <w:rStyle w:val="Hyperlink"/>
            <w:szCs w:val="24"/>
          </w:rPr>
          <w:t>shingle@siumed.edu</w:t>
        </w:r>
      </w:hyperlink>
      <w:r>
        <w:rPr>
          <w:szCs w:val="24"/>
        </w:rPr>
        <w:t xml:space="preserve"> or</w:t>
      </w:r>
      <w:r w:rsidR="00A41449">
        <w:rPr>
          <w:szCs w:val="24"/>
        </w:rPr>
        <w:t xml:space="preserve"> </w:t>
      </w:r>
      <w:r w:rsidR="00256852">
        <w:rPr>
          <w:szCs w:val="24"/>
        </w:rPr>
        <w:t>Lisabeth DiLalla at 618</w:t>
      </w:r>
      <w:r w:rsidR="009A7710">
        <w:rPr>
          <w:szCs w:val="24"/>
        </w:rPr>
        <w:t>-</w:t>
      </w:r>
      <w:r w:rsidR="00256852">
        <w:rPr>
          <w:szCs w:val="24"/>
        </w:rPr>
        <w:t>453</w:t>
      </w:r>
      <w:r w:rsidR="009A7710">
        <w:rPr>
          <w:szCs w:val="24"/>
        </w:rPr>
        <w:t>-</w:t>
      </w:r>
      <w:r w:rsidR="00256852">
        <w:rPr>
          <w:szCs w:val="24"/>
        </w:rPr>
        <w:t xml:space="preserve">1855 or </w:t>
      </w:r>
      <w:hyperlink r:id="rId10" w:history="1">
        <w:r w:rsidR="00256852" w:rsidRPr="00485357">
          <w:rPr>
            <w:rStyle w:val="Hyperlink"/>
            <w:szCs w:val="24"/>
          </w:rPr>
          <w:t>ldilalla@siumed.edu</w:t>
        </w:r>
      </w:hyperlink>
      <w:r w:rsidR="00256852">
        <w:rPr>
          <w:szCs w:val="24"/>
        </w:rPr>
        <w:t xml:space="preserve"> or Cathy Canham</w:t>
      </w:r>
      <w:r w:rsidR="00A41449">
        <w:rPr>
          <w:szCs w:val="24"/>
        </w:rPr>
        <w:t xml:space="preserve"> at 217-545-</w:t>
      </w:r>
      <w:r w:rsidR="00256852">
        <w:rPr>
          <w:szCs w:val="24"/>
        </w:rPr>
        <w:t>6908</w:t>
      </w:r>
      <w:r w:rsidR="00A41449">
        <w:rPr>
          <w:szCs w:val="24"/>
        </w:rPr>
        <w:t xml:space="preserve"> or </w:t>
      </w:r>
      <w:hyperlink r:id="rId11" w:history="1">
        <w:r w:rsidR="00256852" w:rsidRPr="00485357">
          <w:rPr>
            <w:rStyle w:val="Hyperlink"/>
          </w:rPr>
          <w:t>ccanham@siumed.edu</w:t>
        </w:r>
      </w:hyperlink>
      <w:r w:rsidR="00256852">
        <w:t xml:space="preserve"> </w:t>
      </w:r>
    </w:p>
    <w:p w14:paraId="092468ED" w14:textId="77777777" w:rsidR="002D1EC2" w:rsidRDefault="002D1EC2" w:rsidP="00837988">
      <w:pPr>
        <w:jc w:val="both"/>
        <w:rPr>
          <w:szCs w:val="24"/>
        </w:rPr>
      </w:pPr>
    </w:p>
    <w:p w14:paraId="54D9FD2D" w14:textId="77777777" w:rsidR="002D1EC2" w:rsidRDefault="002D1EC2" w:rsidP="00837988">
      <w:pPr>
        <w:jc w:val="both"/>
        <w:rPr>
          <w:szCs w:val="24"/>
        </w:rPr>
      </w:pPr>
      <w:r>
        <w:rPr>
          <w:szCs w:val="24"/>
        </w:rPr>
        <w:t>Copies to:</w:t>
      </w:r>
      <w:r>
        <w:rPr>
          <w:szCs w:val="24"/>
        </w:rPr>
        <w:tab/>
      </w:r>
      <w:r w:rsidR="004806C5">
        <w:rPr>
          <w:szCs w:val="24"/>
        </w:rPr>
        <w:t>Promotion and T</w:t>
      </w:r>
      <w:r>
        <w:rPr>
          <w:szCs w:val="24"/>
        </w:rPr>
        <w:t>enure Committee</w:t>
      </w:r>
    </w:p>
    <w:p w14:paraId="49D28036" w14:textId="77777777" w:rsidR="002D1EC2" w:rsidRPr="00837988" w:rsidRDefault="002D1EC2" w:rsidP="00837988">
      <w:pPr>
        <w:jc w:val="both"/>
        <w:rPr>
          <w:szCs w:val="24"/>
        </w:rPr>
      </w:pPr>
      <w:r>
        <w:rPr>
          <w:szCs w:val="24"/>
        </w:rPr>
        <w:tab/>
      </w:r>
      <w:r>
        <w:rPr>
          <w:szCs w:val="24"/>
        </w:rPr>
        <w:tab/>
        <w:t>Department Chairs’ Assistants</w:t>
      </w:r>
    </w:p>
    <w:sectPr w:rsidR="002D1EC2" w:rsidRPr="00837988" w:rsidSect="00E22D9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C003" w14:textId="77777777" w:rsidR="002D0A36" w:rsidRDefault="002D0A36" w:rsidP="00E22D9C">
      <w:r>
        <w:separator/>
      </w:r>
    </w:p>
  </w:endnote>
  <w:endnote w:type="continuationSeparator" w:id="0">
    <w:p w14:paraId="04425CBC" w14:textId="77777777" w:rsidR="002D0A36" w:rsidRDefault="002D0A36" w:rsidP="00E2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C7FC" w14:textId="77777777" w:rsidR="00461129" w:rsidRDefault="00461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0BD4" w14:textId="77777777" w:rsidR="00461129" w:rsidRDefault="0046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443E" w14:textId="77777777" w:rsidR="00461129" w:rsidRDefault="0046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5DC5" w14:textId="77777777" w:rsidR="002D0A36" w:rsidRDefault="002D0A36" w:rsidP="00E22D9C">
      <w:r>
        <w:separator/>
      </w:r>
    </w:p>
  </w:footnote>
  <w:footnote w:type="continuationSeparator" w:id="0">
    <w:p w14:paraId="65DBB46C" w14:textId="77777777" w:rsidR="002D0A36" w:rsidRDefault="002D0A36" w:rsidP="00E2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715E" w14:textId="77777777" w:rsidR="00461129" w:rsidRDefault="00461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5414"/>
    </w:tblGrid>
    <w:tr w:rsidR="00E22D9C" w14:paraId="6676B544" w14:textId="77777777" w:rsidTr="00CE240A">
      <w:trPr>
        <w:trHeight w:val="1638"/>
      </w:trPr>
      <w:tc>
        <w:tcPr>
          <w:tcW w:w="4128" w:type="dxa"/>
        </w:tcPr>
        <w:p w14:paraId="548729FC" w14:textId="77777777" w:rsidR="00E22D9C" w:rsidRDefault="00E22D9C">
          <w:pPr>
            <w:pStyle w:val="Header"/>
          </w:pPr>
          <w:r>
            <w:rPr>
              <w:noProof/>
            </w:rPr>
            <w:drawing>
              <wp:inline distT="0" distB="0" distL="0" distR="0" wp14:anchorId="3FE45A26" wp14:editId="36634A75">
                <wp:extent cx="2060812" cy="11701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U-Logo-Med-V-Tagline-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752" cy="1183745"/>
                        </a:xfrm>
                        <a:prstGeom prst="rect">
                          <a:avLst/>
                        </a:prstGeom>
                      </pic:spPr>
                    </pic:pic>
                  </a:graphicData>
                </a:graphic>
              </wp:inline>
            </w:drawing>
          </w:r>
        </w:p>
      </w:tc>
      <w:tc>
        <w:tcPr>
          <w:tcW w:w="5414" w:type="dxa"/>
        </w:tcPr>
        <w:p w14:paraId="6062951E" w14:textId="77777777" w:rsidR="00E22D9C" w:rsidRDefault="00E22D9C">
          <w:pPr>
            <w:pStyle w:val="Header"/>
          </w:pPr>
        </w:p>
        <w:p w14:paraId="40FF814E" w14:textId="77777777" w:rsidR="00E22D9C" w:rsidRDefault="00E22D9C">
          <w:pPr>
            <w:pStyle w:val="Header"/>
          </w:pPr>
        </w:p>
        <w:p w14:paraId="25106C46" w14:textId="77777777" w:rsidR="00E22D9C" w:rsidRDefault="00E22D9C">
          <w:pPr>
            <w:pStyle w:val="Header"/>
          </w:pPr>
        </w:p>
        <w:p w14:paraId="0216723B" w14:textId="77777777" w:rsidR="00CE240A" w:rsidRDefault="00CE240A" w:rsidP="00CE240A">
          <w:pPr>
            <w:pStyle w:val="Header"/>
            <w:jc w:val="right"/>
            <w:rPr>
              <w:rFonts w:ascii="Arial Black" w:hAnsi="Arial Black"/>
              <w:sz w:val="36"/>
              <w:szCs w:val="36"/>
            </w:rPr>
          </w:pPr>
        </w:p>
        <w:p w14:paraId="3228E8C6" w14:textId="77777777" w:rsidR="00E22D9C" w:rsidRPr="00E22D9C" w:rsidRDefault="008B04CF" w:rsidP="00CE240A">
          <w:pPr>
            <w:pStyle w:val="Header"/>
            <w:jc w:val="right"/>
          </w:pPr>
          <w:r>
            <w:rPr>
              <w:rFonts w:ascii="Arial Black" w:hAnsi="Arial Black"/>
              <w:sz w:val="36"/>
              <w:szCs w:val="36"/>
            </w:rPr>
            <w:t>CAMPUS MEMO</w:t>
          </w:r>
        </w:p>
      </w:tc>
    </w:tr>
  </w:tbl>
  <w:p w14:paraId="0582C39B" w14:textId="77777777" w:rsidR="00E22D9C" w:rsidRDefault="00E22D9C">
    <w:pPr>
      <w:pStyle w:val="Header"/>
    </w:pPr>
    <w:r>
      <w:rPr>
        <w:noProof/>
      </w:rPr>
      <mc:AlternateContent>
        <mc:Choice Requires="wps">
          <w:drawing>
            <wp:anchor distT="0" distB="0" distL="114300" distR="114300" simplePos="0" relativeHeight="251657216" behindDoc="0" locked="0" layoutInCell="1" allowOverlap="1" wp14:anchorId="1A2C3E80" wp14:editId="2E667FBB">
              <wp:simplePos x="0" y="0"/>
              <wp:positionH relativeFrom="margin">
                <wp:align>center</wp:align>
              </wp:positionH>
              <wp:positionV relativeFrom="paragraph">
                <wp:posOffset>43180</wp:posOffset>
              </wp:positionV>
              <wp:extent cx="6196845"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619684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DB11B4" id="Straight Connector 3" o:spid="_x0000_s1026" style="position:absolute;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4pt" to="48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" strokecolor="black [3213]"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9148" w14:textId="77777777" w:rsidR="00461129" w:rsidRDefault="00461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3981"/>
    <w:multiLevelType w:val="hybridMultilevel"/>
    <w:tmpl w:val="8F8A348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44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9C"/>
    <w:rsid w:val="00020C07"/>
    <w:rsid w:val="00086262"/>
    <w:rsid w:val="00117BE2"/>
    <w:rsid w:val="001576D2"/>
    <w:rsid w:val="001972FE"/>
    <w:rsid w:val="0021048F"/>
    <w:rsid w:val="00256852"/>
    <w:rsid w:val="0027401B"/>
    <w:rsid w:val="002D0A36"/>
    <w:rsid w:val="002D1EC2"/>
    <w:rsid w:val="00385675"/>
    <w:rsid w:val="003C293C"/>
    <w:rsid w:val="003D09CE"/>
    <w:rsid w:val="00415797"/>
    <w:rsid w:val="00461129"/>
    <w:rsid w:val="004806C5"/>
    <w:rsid w:val="00564CDA"/>
    <w:rsid w:val="005A29B7"/>
    <w:rsid w:val="00710EE9"/>
    <w:rsid w:val="00717598"/>
    <w:rsid w:val="00776CA3"/>
    <w:rsid w:val="00783638"/>
    <w:rsid w:val="00837988"/>
    <w:rsid w:val="008B04CF"/>
    <w:rsid w:val="00900959"/>
    <w:rsid w:val="009209B1"/>
    <w:rsid w:val="00946A63"/>
    <w:rsid w:val="00966107"/>
    <w:rsid w:val="009724D8"/>
    <w:rsid w:val="00994E9B"/>
    <w:rsid w:val="009A7710"/>
    <w:rsid w:val="009C0E34"/>
    <w:rsid w:val="009F73EE"/>
    <w:rsid w:val="00A22336"/>
    <w:rsid w:val="00A41449"/>
    <w:rsid w:val="00AB6EB4"/>
    <w:rsid w:val="00C37E56"/>
    <w:rsid w:val="00C83880"/>
    <w:rsid w:val="00CD60F9"/>
    <w:rsid w:val="00CE240A"/>
    <w:rsid w:val="00CF763E"/>
    <w:rsid w:val="00E22D9C"/>
    <w:rsid w:val="00E858E1"/>
    <w:rsid w:val="00EA6EF0"/>
    <w:rsid w:val="00EE258A"/>
    <w:rsid w:val="00F0448F"/>
    <w:rsid w:val="00F51E88"/>
    <w:rsid w:val="00FD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6E180"/>
  <w15:chartTrackingRefBased/>
  <w15:docId w15:val="{92BBD8F4-E388-4E1A-8E64-6B499CDB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8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22D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D9C"/>
    <w:pPr>
      <w:tabs>
        <w:tab w:val="center" w:pos="4680"/>
        <w:tab w:val="right" w:pos="9360"/>
      </w:tabs>
    </w:pPr>
  </w:style>
  <w:style w:type="character" w:customStyle="1" w:styleId="HeaderChar">
    <w:name w:val="Header Char"/>
    <w:basedOn w:val="DefaultParagraphFont"/>
    <w:link w:val="Header"/>
    <w:uiPriority w:val="99"/>
    <w:rsid w:val="00E22D9C"/>
  </w:style>
  <w:style w:type="paragraph" w:styleId="Footer">
    <w:name w:val="footer"/>
    <w:basedOn w:val="Normal"/>
    <w:link w:val="FooterChar"/>
    <w:uiPriority w:val="99"/>
    <w:unhideWhenUsed/>
    <w:rsid w:val="00E22D9C"/>
    <w:pPr>
      <w:tabs>
        <w:tab w:val="center" w:pos="4680"/>
        <w:tab w:val="right" w:pos="9360"/>
      </w:tabs>
    </w:pPr>
  </w:style>
  <w:style w:type="character" w:customStyle="1" w:styleId="FooterChar">
    <w:name w:val="Footer Char"/>
    <w:basedOn w:val="DefaultParagraphFont"/>
    <w:link w:val="Footer"/>
    <w:uiPriority w:val="99"/>
    <w:rsid w:val="00E22D9C"/>
  </w:style>
  <w:style w:type="table" w:styleId="TableGrid">
    <w:name w:val="Table Grid"/>
    <w:basedOn w:val="TableNormal"/>
    <w:uiPriority w:val="39"/>
    <w:rsid w:val="00E2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2D9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837988"/>
    <w:rPr>
      <w:color w:val="0000FF"/>
      <w:u w:val="single"/>
    </w:rPr>
  </w:style>
  <w:style w:type="character" w:styleId="FollowedHyperlink">
    <w:name w:val="FollowedHyperlink"/>
    <w:basedOn w:val="DefaultParagraphFont"/>
    <w:uiPriority w:val="99"/>
    <w:semiHidden/>
    <w:unhideWhenUsed/>
    <w:rsid w:val="00837988"/>
    <w:rPr>
      <w:color w:val="954F72" w:themeColor="followedHyperlink"/>
      <w:u w:val="single"/>
    </w:rPr>
  </w:style>
  <w:style w:type="paragraph" w:styleId="BalloonText">
    <w:name w:val="Balloon Text"/>
    <w:basedOn w:val="Normal"/>
    <w:link w:val="BalloonTextChar"/>
    <w:uiPriority w:val="99"/>
    <w:semiHidden/>
    <w:unhideWhenUsed/>
    <w:rsid w:val="00C83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88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5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umed.edu/hop/policies/promotion-tenure-guidelines-2018.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anham@siumed.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dilalla@siumed.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ingle@siumed.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C74D-5EA9-44CA-AC18-CA647E4E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Hammer</dc:creator>
  <cp:keywords/>
  <dc:description/>
  <cp:lastModifiedBy>Kevin Hingle</cp:lastModifiedBy>
  <cp:revision>2</cp:revision>
  <cp:lastPrinted>2021-05-17T13:55:00Z</cp:lastPrinted>
  <dcterms:created xsi:type="dcterms:W3CDTF">2022-04-15T13:47:00Z</dcterms:created>
  <dcterms:modified xsi:type="dcterms:W3CDTF">2022-04-15T13:47:00Z</dcterms:modified>
</cp:coreProperties>
</file>